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34CAE" w14:textId="77777777" w:rsidR="00CB6480" w:rsidRPr="00F463D6" w:rsidRDefault="00CB6480" w:rsidP="00CB6480">
      <w:pPr>
        <w:pStyle w:val="NoSpacing"/>
        <w:jc w:val="right"/>
        <w:rPr>
          <w:rFonts w:ascii="Arial" w:hAnsi="Arial" w:cs="Arial"/>
          <w:b/>
        </w:rPr>
      </w:pPr>
      <w:r w:rsidRPr="00F463D6">
        <w:rPr>
          <w:rFonts w:ascii="Arial" w:hAnsi="Arial" w:cs="Arial"/>
          <w:b/>
        </w:rPr>
        <w:t>ANNEX A</w:t>
      </w:r>
    </w:p>
    <w:p w14:paraId="257194E4" w14:textId="77777777" w:rsidR="00CB6480" w:rsidRPr="00F463D6" w:rsidRDefault="00CB6480" w:rsidP="00CB6480">
      <w:pPr>
        <w:pStyle w:val="NoSpacing"/>
        <w:jc w:val="center"/>
        <w:rPr>
          <w:rFonts w:ascii="Arial" w:hAnsi="Arial" w:cs="Arial"/>
          <w:b/>
        </w:rPr>
      </w:pPr>
      <w:r w:rsidRPr="00F463D6">
        <w:rPr>
          <w:rFonts w:ascii="Arial" w:hAnsi="Arial" w:cs="Arial"/>
          <w:b/>
        </w:rPr>
        <w:t>RESEARCH THEMES FOR</w:t>
      </w:r>
    </w:p>
    <w:p w14:paraId="1169B4F7" w14:textId="54E3E5A5" w:rsidR="00CB6480" w:rsidRDefault="00823634" w:rsidP="00CB6480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FY2019</w:t>
      </w:r>
      <w:r w:rsidRPr="00F463D6">
        <w:rPr>
          <w:rFonts w:ascii="Arial" w:hAnsi="Arial" w:cs="Arial"/>
          <w:b/>
        </w:rPr>
        <w:t xml:space="preserve"> </w:t>
      </w:r>
      <w:r w:rsidR="00CB6480" w:rsidRPr="00F463D6">
        <w:rPr>
          <w:rFonts w:ascii="Arial" w:hAnsi="Arial" w:cs="Arial"/>
          <w:b/>
        </w:rPr>
        <w:t>HERITAGE RESEARCH GRANT (HRG) GRANT CALL</w:t>
      </w:r>
    </w:p>
    <w:p w14:paraId="1F501BCF" w14:textId="77777777" w:rsidR="00CB6480" w:rsidRPr="00F463D6" w:rsidRDefault="00CB6480" w:rsidP="00CB6480">
      <w:pPr>
        <w:pStyle w:val="NoSpacing"/>
        <w:jc w:val="center"/>
        <w:rPr>
          <w:rFonts w:ascii="Arial" w:hAnsi="Arial" w:cs="Arial"/>
          <w:b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7653"/>
      </w:tblGrid>
      <w:tr w:rsidR="00CB6480" w:rsidRPr="00F463D6" w14:paraId="0B10AD43" w14:textId="77777777" w:rsidTr="004A71C0">
        <w:trPr>
          <w:trHeight w:val="242"/>
        </w:trPr>
        <w:tc>
          <w:tcPr>
            <w:tcW w:w="1413" w:type="dxa"/>
            <w:shd w:val="clear" w:color="auto" w:fill="BFBFBF" w:themeFill="background1" w:themeFillShade="BF"/>
            <w:tcMar>
              <w:top w:w="15" w:type="dxa"/>
              <w:left w:w="87" w:type="dxa"/>
              <w:bottom w:w="0" w:type="dxa"/>
              <w:right w:w="87" w:type="dxa"/>
            </w:tcMar>
          </w:tcPr>
          <w:p w14:paraId="5F4790E4" w14:textId="77777777" w:rsidR="00CB6480" w:rsidRPr="00F463D6" w:rsidRDefault="00CB6480" w:rsidP="004A71C0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 w:rsidRPr="00F463D6">
              <w:rPr>
                <w:rFonts w:ascii="Arial" w:hAnsi="Arial" w:cs="Arial"/>
                <w:b/>
                <w:bCs/>
                <w:lang w:val="en-US"/>
              </w:rPr>
              <w:t>Topic</w:t>
            </w:r>
          </w:p>
        </w:tc>
        <w:tc>
          <w:tcPr>
            <w:tcW w:w="7653" w:type="dxa"/>
            <w:shd w:val="clear" w:color="auto" w:fill="BFBFBF" w:themeFill="background1" w:themeFillShade="BF"/>
            <w:tcMar>
              <w:top w:w="15" w:type="dxa"/>
              <w:left w:w="87" w:type="dxa"/>
              <w:bottom w:w="0" w:type="dxa"/>
              <w:right w:w="87" w:type="dxa"/>
            </w:tcMar>
          </w:tcPr>
          <w:p w14:paraId="578E599C" w14:textId="77777777" w:rsidR="00CB6480" w:rsidRPr="00F463D6" w:rsidRDefault="00CB6480" w:rsidP="004A71C0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 w:rsidRPr="00F463D6">
              <w:rPr>
                <w:rFonts w:ascii="Arial" w:hAnsi="Arial" w:cs="Arial"/>
                <w:b/>
                <w:lang w:val="en-US"/>
              </w:rPr>
              <w:t>Description</w:t>
            </w:r>
          </w:p>
        </w:tc>
      </w:tr>
      <w:tr w:rsidR="00CB6480" w:rsidRPr="00F463D6" w14:paraId="6349C300" w14:textId="77777777" w:rsidTr="009E1FD2">
        <w:trPr>
          <w:trHeight w:val="3225"/>
        </w:trPr>
        <w:tc>
          <w:tcPr>
            <w:tcW w:w="1413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19D392EC" w14:textId="36D4149A" w:rsidR="00CB6480" w:rsidRPr="00F463D6" w:rsidRDefault="00FB58DC" w:rsidP="004A71C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Singapore</w:t>
            </w:r>
            <w:r w:rsidR="00237F63">
              <w:rPr>
                <w:rFonts w:ascii="Arial" w:hAnsi="Arial" w:cs="Arial"/>
                <w:b/>
                <w:bCs/>
                <w:lang w:val="en-US"/>
              </w:rPr>
              <w:t xml:space="preserve"> Pre-History and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History</w:t>
            </w:r>
          </w:p>
        </w:tc>
        <w:tc>
          <w:tcPr>
            <w:tcW w:w="7653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07EFC1A9" w14:textId="6798C6B1" w:rsidR="00663784" w:rsidRDefault="001268A7" w:rsidP="00663784">
            <w:pPr>
              <w:pStyle w:val="NoSpacing"/>
              <w:jc w:val="both"/>
              <w:rPr>
                <w:rFonts w:ascii="Arial" w:eastAsia="ヒラギノ角ゴ Pro W3" w:hAnsi="Arial" w:cs="Arial"/>
                <w:kern w:val="24"/>
              </w:rPr>
            </w:pPr>
            <w:r w:rsidRPr="00F463D6">
              <w:rPr>
                <w:rFonts w:ascii="Arial" w:eastAsia="ヒラギノ角ゴ Pro W3" w:hAnsi="Arial" w:cs="Arial"/>
                <w:kern w:val="24"/>
              </w:rPr>
              <w:t>This topic inv</w:t>
            </w:r>
            <w:r w:rsidR="00FB58DC">
              <w:rPr>
                <w:rFonts w:ascii="Arial" w:eastAsia="ヒラギノ角ゴ Pro W3" w:hAnsi="Arial" w:cs="Arial"/>
                <w:kern w:val="24"/>
              </w:rPr>
              <w:t>ites proposals for research on Singapore History</w:t>
            </w:r>
            <w:r w:rsidR="00663784">
              <w:rPr>
                <w:rFonts w:ascii="Arial" w:eastAsia="ヒラギノ角ゴ Pro W3" w:hAnsi="Arial" w:cs="Arial"/>
                <w:kern w:val="24"/>
              </w:rPr>
              <w:t>.</w:t>
            </w:r>
            <w:r w:rsidR="005F0FA3">
              <w:rPr>
                <w:rFonts w:ascii="Arial" w:hAnsi="Arial" w:cs="Arial"/>
              </w:rPr>
              <w:t xml:space="preserve"> Interested </w:t>
            </w:r>
            <w:r w:rsidR="005F0FA3" w:rsidRPr="00F463D6">
              <w:rPr>
                <w:rFonts w:ascii="Arial" w:hAnsi="Arial" w:cs="Arial"/>
                <w:lang w:val="en-US"/>
              </w:rPr>
              <w:t>researchers</w:t>
            </w:r>
            <w:r w:rsidRPr="00F463D6">
              <w:rPr>
                <w:rFonts w:ascii="Arial" w:hAnsi="Arial" w:cs="Arial"/>
                <w:lang w:val="en-US"/>
              </w:rPr>
              <w:t xml:space="preserve"> </w:t>
            </w:r>
            <w:r w:rsidRPr="00F463D6">
              <w:rPr>
                <w:rFonts w:ascii="Arial" w:eastAsia="ヒラギノ角ゴ Pro W3" w:hAnsi="Arial" w:cs="Arial"/>
                <w:kern w:val="24"/>
              </w:rPr>
              <w:t xml:space="preserve">should propose specific case studies </w:t>
            </w:r>
            <w:r w:rsidR="00663784">
              <w:rPr>
                <w:rFonts w:ascii="Arial" w:eastAsia="ヒラギノ角ゴ Pro W3" w:hAnsi="Arial" w:cs="Arial"/>
                <w:kern w:val="24"/>
              </w:rPr>
              <w:t>that could include:</w:t>
            </w:r>
            <w:bookmarkStart w:id="0" w:name="_GoBack"/>
            <w:bookmarkEnd w:id="0"/>
          </w:p>
          <w:p w14:paraId="13E52B24" w14:textId="77777777" w:rsidR="00663784" w:rsidRPr="00663784" w:rsidRDefault="00663784" w:rsidP="00663784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59B4C723" w14:textId="4C8266D6" w:rsidR="006B2E37" w:rsidRPr="006B2E37" w:rsidRDefault="006B2E37" w:rsidP="00663784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Pre-historic Singapore</w:t>
            </w:r>
            <w:r w:rsidR="00367C75">
              <w:rPr>
                <w:rFonts w:ascii="Arial" w:hAnsi="Arial" w:cs="Arial"/>
                <w:lang w:val="en-US"/>
              </w:rPr>
              <w:t xml:space="preserve"> (e.g. pre-historic archaeological materials in Singapore</w:t>
            </w:r>
            <w:r w:rsidR="00237F63">
              <w:rPr>
                <w:rFonts w:ascii="Arial" w:hAnsi="Arial" w:cs="Arial"/>
                <w:lang w:val="en-US"/>
              </w:rPr>
              <w:t xml:space="preserve"> from the </w:t>
            </w:r>
            <w:r w:rsidR="00754B66">
              <w:rPr>
                <w:rFonts w:ascii="Arial" w:hAnsi="Arial" w:cs="Arial"/>
                <w:lang w:val="en-US"/>
              </w:rPr>
              <w:t>14</w:t>
            </w:r>
            <w:r w:rsidR="00754B66" w:rsidRPr="00237F63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="00754B66">
              <w:rPr>
                <w:rFonts w:ascii="Arial" w:hAnsi="Arial" w:cs="Arial"/>
                <w:lang w:val="en-US"/>
              </w:rPr>
              <w:t xml:space="preserve"> </w:t>
            </w:r>
            <w:r w:rsidR="00237F63">
              <w:rPr>
                <w:rFonts w:ascii="Arial" w:hAnsi="Arial" w:cs="Arial"/>
                <w:lang w:val="en-US"/>
              </w:rPr>
              <w:t>century</w:t>
            </w:r>
            <w:r w:rsidR="00AD2B41">
              <w:rPr>
                <w:rFonts w:ascii="Arial" w:hAnsi="Arial" w:cs="Arial"/>
                <w:lang w:val="en-US"/>
              </w:rPr>
              <w:t xml:space="preserve">, research on early </w:t>
            </w:r>
            <w:proofErr w:type="spellStart"/>
            <w:r w:rsidR="00AD2B41">
              <w:rPr>
                <w:rFonts w:ascii="Arial" w:hAnsi="Arial" w:cs="Arial"/>
                <w:lang w:val="en-US"/>
              </w:rPr>
              <w:t>civilisations</w:t>
            </w:r>
            <w:proofErr w:type="spellEnd"/>
            <w:r w:rsidR="00AD2B41">
              <w:rPr>
                <w:rFonts w:ascii="Arial" w:hAnsi="Arial" w:cs="Arial"/>
                <w:lang w:val="en-US"/>
              </w:rPr>
              <w:t xml:space="preserve"> and </w:t>
            </w:r>
            <w:r w:rsidR="00BE2C6A">
              <w:rPr>
                <w:rFonts w:ascii="Arial" w:hAnsi="Arial" w:cs="Arial"/>
                <w:lang w:val="en-US"/>
              </w:rPr>
              <w:t>settlements)</w:t>
            </w:r>
          </w:p>
          <w:p w14:paraId="0748795D" w14:textId="2BCCF514" w:rsidR="00B231EA" w:rsidRPr="00D8468C" w:rsidRDefault="0032500C" w:rsidP="00663784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Pre-colonial Singapore (e.g. </w:t>
            </w:r>
            <w:r w:rsidR="009B6E94">
              <w:rPr>
                <w:rFonts w:ascii="Arial" w:hAnsi="Arial" w:cs="Arial"/>
                <w:lang w:val="en-US"/>
              </w:rPr>
              <w:t>impact of tr</w:t>
            </w:r>
            <w:r w:rsidR="00B03A03">
              <w:rPr>
                <w:rFonts w:ascii="Arial" w:hAnsi="Arial" w:cs="Arial"/>
                <w:lang w:val="en-US"/>
              </w:rPr>
              <w:t>ade flows</w:t>
            </w:r>
            <w:r w:rsidR="00237F63">
              <w:rPr>
                <w:rFonts w:ascii="Arial" w:hAnsi="Arial" w:cs="Arial"/>
                <w:lang w:val="en-US"/>
              </w:rPr>
              <w:t xml:space="preserve"> from the South China Sea and the Indian Ocean</w:t>
            </w:r>
            <w:r w:rsidR="00B03A03">
              <w:rPr>
                <w:rFonts w:ascii="Arial" w:hAnsi="Arial" w:cs="Arial"/>
                <w:lang w:val="en-US"/>
              </w:rPr>
              <w:t>, religio</w:t>
            </w:r>
            <w:r w:rsidR="00237F63">
              <w:rPr>
                <w:rFonts w:ascii="Arial" w:hAnsi="Arial" w:cs="Arial"/>
                <w:lang w:val="en-US"/>
              </w:rPr>
              <w:t>us networks and influence</w:t>
            </w:r>
            <w:r w:rsidR="00B03A03">
              <w:rPr>
                <w:rFonts w:ascii="Arial" w:hAnsi="Arial" w:cs="Arial"/>
                <w:lang w:val="en-US"/>
              </w:rPr>
              <w:t>,</w:t>
            </w:r>
            <w:r w:rsidR="00350607">
              <w:rPr>
                <w:rFonts w:ascii="Arial" w:hAnsi="Arial" w:cs="Arial"/>
                <w:lang w:val="en-US"/>
              </w:rPr>
              <w:t xml:space="preserve"> </w:t>
            </w:r>
            <w:r w:rsidR="00A23536">
              <w:rPr>
                <w:rFonts w:ascii="Arial" w:hAnsi="Arial" w:cs="Arial"/>
                <w:lang w:val="en-US"/>
              </w:rPr>
              <w:t xml:space="preserve">Western </w:t>
            </w:r>
            <w:r w:rsidR="009B6E94">
              <w:rPr>
                <w:rFonts w:ascii="Arial" w:hAnsi="Arial" w:cs="Arial"/>
                <w:lang w:val="en-US"/>
              </w:rPr>
              <w:t>expansion</w:t>
            </w:r>
            <w:r w:rsidR="00350607">
              <w:rPr>
                <w:rFonts w:ascii="Arial" w:hAnsi="Arial" w:cs="Arial"/>
                <w:lang w:val="en-US"/>
              </w:rPr>
              <w:t xml:space="preserve"> in Southeast Asia</w:t>
            </w:r>
            <w:r w:rsidR="00C82843">
              <w:rPr>
                <w:rFonts w:ascii="Arial" w:hAnsi="Arial" w:cs="Arial"/>
                <w:lang w:val="en-US"/>
              </w:rPr>
              <w:t xml:space="preserve">, historical </w:t>
            </w:r>
            <w:r w:rsidR="00237F63">
              <w:rPr>
                <w:rFonts w:ascii="Arial" w:hAnsi="Arial" w:cs="Arial"/>
                <w:lang w:val="en-US"/>
              </w:rPr>
              <w:t xml:space="preserve">and geopolitical </w:t>
            </w:r>
            <w:r w:rsidR="00C82843">
              <w:rPr>
                <w:rFonts w:ascii="Arial" w:hAnsi="Arial" w:cs="Arial"/>
                <w:lang w:val="en-US"/>
              </w:rPr>
              <w:t>context behind Stamford Raffles’ 1819 arrival in Singapore</w:t>
            </w:r>
            <w:r w:rsidR="009B6E94">
              <w:rPr>
                <w:rFonts w:ascii="Arial" w:hAnsi="Arial" w:cs="Arial"/>
                <w:lang w:val="en-US"/>
              </w:rPr>
              <w:t>)</w:t>
            </w:r>
          </w:p>
          <w:p w14:paraId="02648AA1" w14:textId="1D3F94EF" w:rsidR="00D8468C" w:rsidRPr="005724EE" w:rsidRDefault="00D8468C" w:rsidP="00663784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724EE">
              <w:rPr>
                <w:rFonts w:ascii="Arial" w:hAnsi="Arial" w:cs="Arial"/>
                <w:lang w:val="en-US"/>
              </w:rPr>
              <w:t>Colonial Singapore</w:t>
            </w:r>
            <w:r w:rsidR="001D7D5F" w:rsidRPr="005724EE">
              <w:rPr>
                <w:rFonts w:ascii="Arial" w:hAnsi="Arial" w:cs="Arial"/>
                <w:lang w:val="en-US"/>
              </w:rPr>
              <w:t xml:space="preserve"> (e.g. </w:t>
            </w:r>
            <w:r w:rsidR="00237F63">
              <w:rPr>
                <w:rFonts w:ascii="Arial" w:hAnsi="Arial" w:cs="Arial"/>
                <w:lang w:val="en-US"/>
              </w:rPr>
              <w:t xml:space="preserve">ethnic segregation along </w:t>
            </w:r>
            <w:proofErr w:type="spellStart"/>
            <w:r w:rsidR="00237F63">
              <w:rPr>
                <w:rFonts w:ascii="Arial" w:hAnsi="Arial" w:cs="Arial"/>
                <w:lang w:val="en-US"/>
              </w:rPr>
              <w:t>labour</w:t>
            </w:r>
            <w:proofErr w:type="spellEnd"/>
            <w:r w:rsidR="00237F63">
              <w:rPr>
                <w:rFonts w:ascii="Arial" w:hAnsi="Arial" w:cs="Arial"/>
                <w:lang w:val="en-US"/>
              </w:rPr>
              <w:t xml:space="preserve"> division, cultural and political relations between colonial administration and local population, </w:t>
            </w:r>
            <w:r w:rsidR="005724EE" w:rsidRPr="005724EE">
              <w:rPr>
                <w:rFonts w:ascii="Arial" w:hAnsi="Arial" w:cs="Arial"/>
                <w:lang w:val="en-US"/>
              </w:rPr>
              <w:t>Inter-ethnic interactions in commercial activities, shipping lines in Singapore, picture postcard producers, Empire Day and other colony-wide celebrations, river settlements in Singapore)</w:t>
            </w:r>
          </w:p>
          <w:p w14:paraId="6626EB8C" w14:textId="1A54893D" w:rsidR="00E85FF1" w:rsidRPr="00237F63" w:rsidRDefault="00E85FF1" w:rsidP="00663784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World War II (e.g. larger narratives of World War II in Singapore,</w:t>
            </w:r>
            <w:r w:rsidR="00237F63">
              <w:rPr>
                <w:rFonts w:ascii="Arial" w:hAnsi="Arial" w:cs="Arial"/>
                <w:lang w:val="en-US"/>
              </w:rPr>
              <w:t xml:space="preserve"> the manufacture and dissemination of war propaganda materials</w:t>
            </w:r>
            <w:r>
              <w:rPr>
                <w:rFonts w:ascii="Arial" w:hAnsi="Arial" w:cs="Arial"/>
                <w:lang w:val="en-US"/>
              </w:rPr>
              <w:t xml:space="preserve"> significance of the Malay Regiment, accounts by wartime survivors</w:t>
            </w:r>
            <w:r w:rsidR="00D04023">
              <w:rPr>
                <w:rFonts w:ascii="Arial" w:hAnsi="Arial" w:cs="Arial"/>
                <w:lang w:val="en-US"/>
              </w:rPr>
              <w:t xml:space="preserve"> and prisoners of war</w:t>
            </w:r>
            <w:r>
              <w:rPr>
                <w:rFonts w:ascii="Arial" w:hAnsi="Arial" w:cs="Arial"/>
                <w:lang w:val="en-US"/>
              </w:rPr>
              <w:t>)</w:t>
            </w:r>
          </w:p>
          <w:p w14:paraId="3821B391" w14:textId="1A1DC54A" w:rsidR="00237F63" w:rsidRPr="002D7F19" w:rsidRDefault="00754B66" w:rsidP="00663784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Road to Independence (1948-1965) </w:t>
            </w:r>
            <w:r w:rsidR="00237F63">
              <w:rPr>
                <w:rFonts w:ascii="Arial" w:hAnsi="Arial" w:cs="Arial"/>
                <w:lang w:val="en-US"/>
              </w:rPr>
              <w:t>(e.g.</w:t>
            </w:r>
            <w:r>
              <w:rPr>
                <w:rFonts w:ascii="Arial" w:hAnsi="Arial" w:cs="Arial"/>
                <w:lang w:val="en-US"/>
              </w:rPr>
              <w:t xml:space="preserve"> The Malayan Emergency (1948-1955),</w:t>
            </w:r>
            <w:r w:rsidR="00237F63">
              <w:rPr>
                <w:rFonts w:ascii="Arial" w:hAnsi="Arial" w:cs="Arial"/>
                <w:lang w:val="en-US"/>
              </w:rPr>
              <w:t xml:space="preserve"> the post-war </w:t>
            </w:r>
            <w:r w:rsidR="00356113">
              <w:rPr>
                <w:rFonts w:ascii="Arial" w:hAnsi="Arial" w:cs="Arial"/>
                <w:lang w:val="en-US"/>
              </w:rPr>
              <w:t xml:space="preserve">strategies and activities </w:t>
            </w:r>
            <w:r w:rsidR="00237F63">
              <w:rPr>
                <w:rFonts w:ascii="Arial" w:hAnsi="Arial" w:cs="Arial"/>
                <w:lang w:val="en-US"/>
              </w:rPr>
              <w:t>of the Malayan Communist Party</w:t>
            </w:r>
            <w:r w:rsidR="00356113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356113">
              <w:rPr>
                <w:rFonts w:ascii="Arial" w:hAnsi="Arial" w:cs="Arial"/>
                <w:lang w:val="en-US"/>
              </w:rPr>
              <w:t>labour</w:t>
            </w:r>
            <w:proofErr w:type="spellEnd"/>
            <w:r w:rsidR="00356113">
              <w:rPr>
                <w:rFonts w:ascii="Arial" w:hAnsi="Arial" w:cs="Arial"/>
                <w:lang w:val="en-US"/>
              </w:rPr>
              <w:t xml:space="preserve"> unrest during pre-independence Singapore</w:t>
            </w:r>
            <w:r w:rsidR="00237F63">
              <w:rPr>
                <w:rFonts w:ascii="Arial" w:hAnsi="Arial" w:cs="Arial"/>
                <w:lang w:val="en-US"/>
              </w:rPr>
              <w:t>).</w:t>
            </w:r>
          </w:p>
          <w:p w14:paraId="7E274861" w14:textId="77777777" w:rsidR="002D7F19" w:rsidRPr="0032500C" w:rsidRDefault="007A145B" w:rsidP="00663784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Post-independence</w:t>
            </w:r>
            <w:r w:rsidR="002D7F19">
              <w:rPr>
                <w:rFonts w:ascii="Arial" w:hAnsi="Arial" w:cs="Arial"/>
                <w:lang w:val="en-US"/>
              </w:rPr>
              <w:t xml:space="preserve"> Singapore (e.g. public housing, economic development, </w:t>
            </w:r>
            <w:proofErr w:type="spellStart"/>
            <w:r w:rsidR="002D7F19">
              <w:rPr>
                <w:rFonts w:ascii="Arial" w:hAnsi="Arial" w:cs="Arial"/>
                <w:lang w:val="en-US"/>
              </w:rPr>
              <w:t>industrialisation</w:t>
            </w:r>
            <w:proofErr w:type="spellEnd"/>
            <w:r w:rsidR="002D7F19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2D7F19">
              <w:rPr>
                <w:rFonts w:ascii="Arial" w:hAnsi="Arial" w:cs="Arial"/>
                <w:lang w:val="en-US"/>
              </w:rPr>
              <w:t>labour</w:t>
            </w:r>
            <w:proofErr w:type="spellEnd"/>
            <w:r w:rsidR="002D7F19">
              <w:rPr>
                <w:rFonts w:ascii="Arial" w:hAnsi="Arial" w:cs="Arial"/>
                <w:lang w:val="en-US"/>
              </w:rPr>
              <w:t xml:space="preserve"> relations,</w:t>
            </w:r>
            <w:r w:rsidR="00541F16">
              <w:rPr>
                <w:rFonts w:ascii="Arial" w:hAnsi="Arial" w:cs="Arial"/>
                <w:lang w:val="en-US"/>
              </w:rPr>
              <w:t xml:space="preserve"> visual culture,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C53A4E">
              <w:rPr>
                <w:rFonts w:ascii="Arial" w:hAnsi="Arial" w:cs="Arial"/>
                <w:lang w:val="en-US"/>
              </w:rPr>
              <w:t>defence</w:t>
            </w:r>
            <w:proofErr w:type="spellEnd"/>
            <w:r>
              <w:rPr>
                <w:rFonts w:ascii="Arial" w:hAnsi="Arial" w:cs="Arial"/>
                <w:lang w:val="en-US"/>
              </w:rPr>
              <w:t>,</w:t>
            </w:r>
            <w:r w:rsidR="002D7F19">
              <w:rPr>
                <w:rFonts w:ascii="Arial" w:hAnsi="Arial" w:cs="Arial"/>
                <w:lang w:val="en-US"/>
              </w:rPr>
              <w:t xml:space="preserve"> diplomacy</w:t>
            </w:r>
            <w:r w:rsidR="007C3686">
              <w:rPr>
                <w:rFonts w:ascii="Arial" w:hAnsi="Arial" w:cs="Arial"/>
                <w:lang w:val="en-US"/>
              </w:rPr>
              <w:t xml:space="preserve">, </w:t>
            </w:r>
            <w:r w:rsidR="00F64CCC">
              <w:rPr>
                <w:rFonts w:ascii="Arial" w:hAnsi="Arial" w:cs="Arial"/>
                <w:lang w:val="en-US"/>
              </w:rPr>
              <w:t>socio-</w:t>
            </w:r>
            <w:r w:rsidR="00393DD4">
              <w:rPr>
                <w:rFonts w:ascii="Arial" w:hAnsi="Arial" w:cs="Arial"/>
                <w:lang w:val="en-US"/>
              </w:rPr>
              <w:t xml:space="preserve">economic </w:t>
            </w:r>
            <w:r w:rsidR="007C3686">
              <w:rPr>
                <w:rFonts w:ascii="Arial" w:hAnsi="Arial" w:cs="Arial"/>
                <w:lang w:val="en-US"/>
              </w:rPr>
              <w:t>microhistories</w:t>
            </w:r>
            <w:r w:rsidR="007932AF">
              <w:rPr>
                <w:rFonts w:ascii="Arial" w:hAnsi="Arial" w:cs="Arial"/>
                <w:lang w:val="en-US"/>
              </w:rPr>
              <w:t>, public histories, roles of social and/or collective memory in the development of Singapore’s nation-building narratives</w:t>
            </w:r>
            <w:r w:rsidR="002D7F19">
              <w:rPr>
                <w:rFonts w:ascii="Arial" w:hAnsi="Arial" w:cs="Arial"/>
                <w:lang w:val="en-US"/>
              </w:rPr>
              <w:t>)</w:t>
            </w:r>
          </w:p>
          <w:p w14:paraId="44109F02" w14:textId="77777777" w:rsidR="0032500C" w:rsidRPr="00367C75" w:rsidRDefault="0032500C" w:rsidP="00663784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Singapore Identity and Culture (e.g. </w:t>
            </w:r>
            <w:proofErr w:type="spellStart"/>
            <w:r>
              <w:rPr>
                <w:rFonts w:ascii="Arial" w:hAnsi="Arial" w:cs="Arial"/>
                <w:lang w:val="en-US"/>
              </w:rPr>
              <w:t>foodways</w:t>
            </w:r>
            <w:proofErr w:type="spellEnd"/>
            <w:r>
              <w:rPr>
                <w:rFonts w:ascii="Arial" w:hAnsi="Arial" w:cs="Arial"/>
                <w:lang w:val="en-US"/>
              </w:rPr>
              <w:t>, language</w:t>
            </w:r>
            <w:r w:rsidR="00431EFD"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  <w:lang w:val="en-US"/>
              </w:rPr>
              <w:t>, HDB living,</w:t>
            </w:r>
            <w:r w:rsidR="00DC2909">
              <w:rPr>
                <w:rFonts w:ascii="Arial" w:hAnsi="Arial" w:cs="Arial"/>
                <w:lang w:val="en-US"/>
              </w:rPr>
              <w:t xml:space="preserve"> cultural diversity,</w:t>
            </w:r>
            <w:r w:rsidR="00572997">
              <w:rPr>
                <w:rFonts w:ascii="Arial" w:hAnsi="Arial" w:cs="Arial"/>
                <w:lang w:val="en-US"/>
              </w:rPr>
              <w:t xml:space="preserve"> tourism connections, urban studies,</w:t>
            </w:r>
            <w:r w:rsidR="009B6E9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social value of museums)</w:t>
            </w:r>
          </w:p>
          <w:p w14:paraId="4CB0ED9C" w14:textId="77777777" w:rsidR="00367C75" w:rsidRPr="00367C75" w:rsidRDefault="00367C75" w:rsidP="00663784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General </w:t>
            </w:r>
            <w:proofErr w:type="spellStart"/>
            <w:r>
              <w:rPr>
                <w:rFonts w:ascii="Arial" w:hAnsi="Arial" w:cs="Arial"/>
                <w:lang w:val="en-US"/>
              </w:rPr>
              <w:t>museological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studies (e.g. history of museums in Singapore, history of private Singapore art collections, development of the Raffles Library and Museum collections, development of the colonial museum network in Southeast Asia)</w:t>
            </w:r>
          </w:p>
          <w:p w14:paraId="3A986A5D" w14:textId="77777777" w:rsidR="00CB6480" w:rsidRDefault="00CB6480" w:rsidP="004A71C0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043552D2" w14:textId="3AAF9468" w:rsidR="00040769" w:rsidRDefault="00040769" w:rsidP="009A30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note that the above list is not exhaustive.</w:t>
            </w:r>
            <w:r w:rsidR="00B231EA">
              <w:rPr>
                <w:rFonts w:ascii="Arial" w:hAnsi="Arial" w:cs="Arial"/>
              </w:rPr>
              <w:t xml:space="preserve"> </w:t>
            </w:r>
            <w:r w:rsidR="009F0361">
              <w:rPr>
                <w:rFonts w:ascii="Arial" w:hAnsi="Arial" w:cs="Arial"/>
              </w:rPr>
              <w:t>P</w:t>
            </w:r>
            <w:r w:rsidR="00580721">
              <w:rPr>
                <w:rFonts w:ascii="Arial" w:hAnsi="Arial" w:cs="Arial"/>
              </w:rPr>
              <w:t xml:space="preserve">rojects </w:t>
            </w:r>
            <w:r w:rsidR="001F1785">
              <w:rPr>
                <w:rFonts w:ascii="Arial" w:hAnsi="Arial" w:cs="Arial"/>
              </w:rPr>
              <w:t>may</w:t>
            </w:r>
            <w:r w:rsidR="00580721">
              <w:rPr>
                <w:rFonts w:ascii="Arial" w:hAnsi="Arial" w:cs="Arial"/>
              </w:rPr>
              <w:t xml:space="preserve"> </w:t>
            </w:r>
            <w:r w:rsidR="00282728">
              <w:rPr>
                <w:rFonts w:ascii="Arial" w:hAnsi="Arial" w:cs="Arial"/>
              </w:rPr>
              <w:t>utilise</w:t>
            </w:r>
            <w:r w:rsidR="00B231EA">
              <w:rPr>
                <w:rFonts w:ascii="Arial" w:hAnsi="Arial" w:cs="Arial"/>
              </w:rPr>
              <w:t xml:space="preserve"> his</w:t>
            </w:r>
            <w:r w:rsidR="009A3070">
              <w:rPr>
                <w:rFonts w:ascii="Arial" w:hAnsi="Arial" w:cs="Arial"/>
              </w:rPr>
              <w:t xml:space="preserve">torical, archival </w:t>
            </w:r>
            <w:r w:rsidR="009A5F2D">
              <w:rPr>
                <w:rFonts w:ascii="Arial" w:hAnsi="Arial" w:cs="Arial"/>
              </w:rPr>
              <w:t xml:space="preserve">and </w:t>
            </w:r>
            <w:r w:rsidR="006B2E37">
              <w:rPr>
                <w:rFonts w:ascii="Arial" w:hAnsi="Arial" w:cs="Arial"/>
              </w:rPr>
              <w:t>other relevant methodologies</w:t>
            </w:r>
            <w:r w:rsidR="009A3070">
              <w:rPr>
                <w:rFonts w:ascii="Arial" w:hAnsi="Arial" w:cs="Arial"/>
              </w:rPr>
              <w:t xml:space="preserve"> to explore the topic of Singapore </w:t>
            </w:r>
            <w:r w:rsidR="001139B2">
              <w:rPr>
                <w:rFonts w:ascii="Arial" w:hAnsi="Arial" w:cs="Arial"/>
              </w:rPr>
              <w:t xml:space="preserve">Pre-History and </w:t>
            </w:r>
            <w:r w:rsidR="009A3070">
              <w:rPr>
                <w:rFonts w:ascii="Arial" w:hAnsi="Arial" w:cs="Arial"/>
              </w:rPr>
              <w:t>History.</w:t>
            </w:r>
            <w:r w:rsidR="00237F63">
              <w:rPr>
                <w:rFonts w:ascii="Arial" w:hAnsi="Arial" w:cs="Arial"/>
              </w:rPr>
              <w:t xml:space="preserve"> Priority will be given to proposals which are able to demonstrate Singapore’s networks or linkages to the region</w:t>
            </w:r>
            <w:r w:rsidR="00423352">
              <w:rPr>
                <w:rFonts w:ascii="Arial" w:hAnsi="Arial" w:cs="Arial"/>
              </w:rPr>
              <w:t xml:space="preserve"> and/or engage in robust historical research to </w:t>
            </w:r>
            <w:r w:rsidR="00472068">
              <w:rPr>
                <w:rFonts w:ascii="Arial" w:hAnsi="Arial" w:cs="Arial"/>
              </w:rPr>
              <w:t>address</w:t>
            </w:r>
            <w:r w:rsidR="00423352">
              <w:rPr>
                <w:rFonts w:ascii="Arial" w:hAnsi="Arial" w:cs="Arial"/>
              </w:rPr>
              <w:t xml:space="preserve"> current heritage concerns.</w:t>
            </w:r>
          </w:p>
          <w:p w14:paraId="0CB6FE63" w14:textId="77777777" w:rsidR="0055665C" w:rsidRPr="00040769" w:rsidRDefault="0055665C" w:rsidP="009A307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B6480" w:rsidRPr="00F463D6" w14:paraId="36B8433C" w14:textId="77777777" w:rsidTr="006B7DF7">
        <w:trPr>
          <w:trHeight w:val="968"/>
        </w:trPr>
        <w:tc>
          <w:tcPr>
            <w:tcW w:w="1413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1FCAC931" w14:textId="77777777" w:rsidR="00CB6480" w:rsidRPr="00F463D6" w:rsidRDefault="00CB6480" w:rsidP="004A71C0">
            <w:pPr>
              <w:pStyle w:val="NoSpacing"/>
              <w:jc w:val="both"/>
              <w:rPr>
                <w:rFonts w:ascii="Arial" w:hAnsi="Arial" w:cs="Arial"/>
              </w:rPr>
            </w:pPr>
            <w:r w:rsidRPr="00F463D6">
              <w:rPr>
                <w:rFonts w:ascii="Arial" w:hAnsi="Arial" w:cs="Arial"/>
                <w:b/>
                <w:bCs/>
                <w:lang w:val="en-US"/>
              </w:rPr>
              <w:t>Intangible Cultural  Heritage</w:t>
            </w:r>
          </w:p>
        </w:tc>
        <w:tc>
          <w:tcPr>
            <w:tcW w:w="7653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41952FBF" w14:textId="08E9AF2F" w:rsidR="00CB6480" w:rsidRPr="00F463D6" w:rsidRDefault="00CB6480" w:rsidP="004A71C0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F463D6">
              <w:rPr>
                <w:rFonts w:ascii="Arial" w:hAnsi="Arial" w:cs="Arial"/>
                <w:lang w:val="en-US"/>
              </w:rPr>
              <w:t>This topic invites proposals for research related to the intangible cultural heritage (ICH) of Singapore. Interested researchers should</w:t>
            </w:r>
            <w:r w:rsidR="00412CF6">
              <w:rPr>
                <w:rFonts w:ascii="Arial" w:hAnsi="Arial" w:cs="Arial"/>
                <w:lang w:val="en-US"/>
              </w:rPr>
              <w:t xml:space="preserve"> refer to</w:t>
            </w:r>
            <w:r w:rsidRPr="00F463D6">
              <w:rPr>
                <w:rFonts w:ascii="Arial" w:hAnsi="Arial" w:cs="Arial"/>
                <w:lang w:val="en-US"/>
              </w:rPr>
              <w:t xml:space="preserve"> </w:t>
            </w:r>
            <w:r w:rsidR="006525B9">
              <w:rPr>
                <w:rFonts w:ascii="Arial" w:hAnsi="Arial" w:cs="Arial"/>
                <w:lang w:val="en-US"/>
              </w:rPr>
              <w:t xml:space="preserve">the Inventory of </w:t>
            </w:r>
            <w:r w:rsidRPr="00F463D6">
              <w:rPr>
                <w:rFonts w:ascii="Arial" w:hAnsi="Arial" w:cs="Arial"/>
                <w:lang w:val="en-US"/>
              </w:rPr>
              <w:t xml:space="preserve">Intangible Cultural Heritage </w:t>
            </w:r>
            <w:r w:rsidR="006525B9">
              <w:rPr>
                <w:rFonts w:ascii="Arial" w:hAnsi="Arial" w:cs="Arial"/>
                <w:lang w:val="en-US"/>
              </w:rPr>
              <w:t>in Singapore (</w:t>
            </w:r>
            <w:hyperlink r:id="rId7" w:history="1">
              <w:r w:rsidR="006525B9" w:rsidRPr="0004081E">
                <w:rPr>
                  <w:rStyle w:val="Hyperlink"/>
                  <w:rFonts w:ascii="Arial" w:hAnsi="Arial" w:cs="Arial"/>
                  <w:lang w:val="en-US"/>
                </w:rPr>
                <w:t>https://roots.sg/learn/resources/ich</w:t>
              </w:r>
            </w:hyperlink>
            <w:r w:rsidR="006525B9">
              <w:rPr>
                <w:rFonts w:ascii="Arial" w:hAnsi="Arial" w:cs="Arial"/>
                <w:lang w:val="en-US"/>
              </w:rPr>
              <w:t>)</w:t>
            </w:r>
            <w:r w:rsidRPr="00F463D6">
              <w:rPr>
                <w:rFonts w:ascii="Arial" w:hAnsi="Arial" w:cs="Arial"/>
                <w:lang w:val="en-US"/>
              </w:rPr>
              <w:t>, that could include:</w:t>
            </w:r>
          </w:p>
          <w:p w14:paraId="13558F27" w14:textId="77777777" w:rsidR="00CB6480" w:rsidRPr="00F463D6" w:rsidRDefault="00CB6480" w:rsidP="004A71C0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546179B3" w14:textId="77777777" w:rsidR="00CB6480" w:rsidRPr="00F463D6" w:rsidRDefault="00CB6480" w:rsidP="00CB648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F463D6">
              <w:rPr>
                <w:rFonts w:ascii="Arial" w:hAnsi="Arial" w:cs="Arial"/>
                <w:lang w:val="en-US"/>
              </w:rPr>
              <w:t>Oral Traditions and Expressions</w:t>
            </w:r>
          </w:p>
          <w:p w14:paraId="3A869A26" w14:textId="77777777" w:rsidR="00CB6480" w:rsidRPr="00F463D6" w:rsidRDefault="00CB6480" w:rsidP="00CB648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F463D6">
              <w:rPr>
                <w:rFonts w:ascii="Arial" w:hAnsi="Arial" w:cs="Arial"/>
                <w:lang w:val="en-US"/>
              </w:rPr>
              <w:t>Performing Arts</w:t>
            </w:r>
          </w:p>
          <w:p w14:paraId="58D480A4" w14:textId="77777777" w:rsidR="00CB6480" w:rsidRPr="00F463D6" w:rsidRDefault="00CB6480" w:rsidP="00CB648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F463D6">
              <w:rPr>
                <w:rFonts w:ascii="Arial" w:hAnsi="Arial" w:cs="Arial"/>
                <w:lang w:val="en-US"/>
              </w:rPr>
              <w:t>Social Practices, Rituals and Festive Events</w:t>
            </w:r>
          </w:p>
          <w:p w14:paraId="6B57EF70" w14:textId="77777777" w:rsidR="00CB6480" w:rsidRPr="00F463D6" w:rsidRDefault="00CB6480" w:rsidP="00CB648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F463D6">
              <w:rPr>
                <w:rFonts w:ascii="Arial" w:hAnsi="Arial" w:cs="Arial"/>
                <w:lang w:val="en-US"/>
              </w:rPr>
              <w:lastRenderedPageBreak/>
              <w:t>Knowledge and Practice concerning nature and the universe</w:t>
            </w:r>
          </w:p>
          <w:p w14:paraId="2789900E" w14:textId="77777777" w:rsidR="00CB6480" w:rsidRPr="004B495F" w:rsidRDefault="00CB6480" w:rsidP="00CB648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F463D6">
              <w:rPr>
                <w:rFonts w:ascii="Arial" w:hAnsi="Arial" w:cs="Arial"/>
                <w:lang w:val="en-US"/>
              </w:rPr>
              <w:t>Traditional Craftsmanship</w:t>
            </w:r>
          </w:p>
          <w:p w14:paraId="63682002" w14:textId="19F600E7" w:rsidR="004B495F" w:rsidRPr="00237F63" w:rsidRDefault="004B495F" w:rsidP="00CB648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Food Heritage</w:t>
            </w:r>
          </w:p>
          <w:p w14:paraId="0D8D5D3C" w14:textId="56720C3D" w:rsidR="00237F63" w:rsidRPr="00F463D6" w:rsidRDefault="00237F63" w:rsidP="00CB648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Significance of ICH to nation-building and national identity</w:t>
            </w:r>
          </w:p>
          <w:p w14:paraId="2CA0CC09" w14:textId="77777777" w:rsidR="00CB6480" w:rsidRPr="00F463D6" w:rsidRDefault="00CB6480" w:rsidP="004A71C0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7420EB8F" w14:textId="563692DA" w:rsidR="006E6A98" w:rsidRDefault="00CB6480" w:rsidP="00346E45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F463D6">
              <w:rPr>
                <w:rFonts w:ascii="Arial" w:hAnsi="Arial" w:cs="Arial"/>
                <w:lang w:val="en-US"/>
              </w:rPr>
              <w:t xml:space="preserve">Researchers may propose research to demonstrate the value of intangible cultural heritage in Singapore’s context, or explore case studies that could deepen understanding of specific ICH practices in Singapore. </w:t>
            </w:r>
          </w:p>
          <w:p w14:paraId="7FECB3BC" w14:textId="4F366080" w:rsidR="00346E45" w:rsidRPr="00F463D6" w:rsidRDefault="00346E45" w:rsidP="00346E45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CB6480" w:rsidRPr="00F463D6" w14:paraId="53AD376B" w14:textId="77777777" w:rsidTr="001E0C52">
        <w:trPr>
          <w:trHeight w:val="35"/>
        </w:trPr>
        <w:tc>
          <w:tcPr>
            <w:tcW w:w="1413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14:paraId="55F82C16" w14:textId="77777777" w:rsidR="00CB6480" w:rsidRPr="00F463D6" w:rsidRDefault="001268A7" w:rsidP="004A71C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eastAsia="ヒラギノ角ゴ Pro W3" w:hAnsi="Arial" w:cs="Arial"/>
                <w:b/>
                <w:bCs/>
                <w:kern w:val="24"/>
                <w:lang w:val="en-US"/>
              </w:rPr>
              <w:lastRenderedPageBreak/>
              <w:t>Tangible Heritage</w:t>
            </w:r>
          </w:p>
        </w:tc>
        <w:tc>
          <w:tcPr>
            <w:tcW w:w="7653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14:paraId="2CC03949" w14:textId="77777777" w:rsidR="00367C75" w:rsidRDefault="001268A7" w:rsidP="001268A7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F463D6">
              <w:rPr>
                <w:rFonts w:ascii="Arial" w:hAnsi="Arial" w:cs="Arial"/>
                <w:lang w:val="en-US"/>
              </w:rPr>
              <w:t>This topic invites proposals for research on historic</w:t>
            </w:r>
            <w:r w:rsidR="00CE2F5D">
              <w:rPr>
                <w:rFonts w:ascii="Arial" w:hAnsi="Arial" w:cs="Arial"/>
                <w:lang w:val="en-US"/>
              </w:rPr>
              <w:t xml:space="preserve"> and heritage</w:t>
            </w:r>
            <w:r w:rsidRPr="00F463D6">
              <w:rPr>
                <w:rFonts w:ascii="Arial" w:hAnsi="Arial" w:cs="Arial"/>
                <w:lang w:val="en-US"/>
              </w:rPr>
              <w:t xml:space="preserve"> buildings, st</w:t>
            </w:r>
            <w:r w:rsidR="00F903E0">
              <w:rPr>
                <w:rFonts w:ascii="Arial" w:hAnsi="Arial" w:cs="Arial"/>
                <w:lang w:val="en-US"/>
              </w:rPr>
              <w:t>ructures and sites. The proposal’s</w:t>
            </w:r>
            <w:r w:rsidRPr="00F463D6">
              <w:rPr>
                <w:rFonts w:ascii="Arial" w:hAnsi="Arial" w:cs="Arial"/>
                <w:lang w:val="en-US"/>
              </w:rPr>
              <w:t xml:space="preserve"> focus should be primarily on Singapore, although research on overseas tangible heritage could be considered if the research is able to link the research outcomes to Singapore. </w:t>
            </w:r>
          </w:p>
          <w:p w14:paraId="65627192" w14:textId="77777777" w:rsidR="00367C75" w:rsidRDefault="00367C75" w:rsidP="001268A7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  <w:p w14:paraId="0CABD5E5" w14:textId="77777777" w:rsidR="00367C75" w:rsidRDefault="00367C75" w:rsidP="001268A7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Some potential case studies include:</w:t>
            </w:r>
          </w:p>
          <w:p w14:paraId="37395C3A" w14:textId="77777777" w:rsidR="00367C75" w:rsidRDefault="00367C75" w:rsidP="001268A7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  <w:p w14:paraId="2E93F317" w14:textId="374406ED" w:rsidR="00367C75" w:rsidRDefault="00367C75" w:rsidP="00367C75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Cities/Urban studies (e.g. architectural history of Singapore</w:t>
            </w:r>
            <w:r w:rsidR="00F4455B">
              <w:rPr>
                <w:rFonts w:ascii="Arial" w:hAnsi="Arial" w:cs="Arial"/>
                <w:lang w:val="en-US"/>
              </w:rPr>
              <w:t>, modern architectural heritage of Singapore</w:t>
            </w:r>
            <w:r>
              <w:rPr>
                <w:rFonts w:ascii="Arial" w:hAnsi="Arial" w:cs="Arial"/>
                <w:lang w:val="en-US"/>
              </w:rPr>
              <w:t>)</w:t>
            </w:r>
          </w:p>
          <w:p w14:paraId="7CE180E9" w14:textId="19144642" w:rsidR="00367C75" w:rsidRDefault="00367C75" w:rsidP="001268A7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Recreation and entertainment heritage (e.g. history of amusement parks,</w:t>
            </w:r>
            <w:r w:rsidR="00237F63">
              <w:rPr>
                <w:rFonts w:ascii="Arial" w:hAnsi="Arial" w:cs="Arial"/>
                <w:lang w:val="en-US"/>
              </w:rPr>
              <w:t xml:space="preserve"> sporting </w:t>
            </w:r>
            <w:r w:rsidR="00533D6B">
              <w:rPr>
                <w:rFonts w:ascii="Arial" w:hAnsi="Arial" w:cs="Arial"/>
                <w:lang w:val="en-US"/>
              </w:rPr>
              <w:t>sites, cinemas</w:t>
            </w:r>
            <w:r>
              <w:rPr>
                <w:rFonts w:ascii="Arial" w:hAnsi="Arial" w:cs="Arial"/>
                <w:lang w:val="en-US"/>
              </w:rPr>
              <w:t xml:space="preserve"> and theatres in Singapore)</w:t>
            </w:r>
          </w:p>
          <w:p w14:paraId="721B5664" w14:textId="77777777" w:rsidR="001268A7" w:rsidRPr="00367C75" w:rsidRDefault="00367C75" w:rsidP="001268A7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Archaeological sites (e.g. archaeology methodology, archaeology ethics, archaeology mapping, pre-colonial archaeology, colonial archaeology, peoples’ archaeology, archiving and database management etc.)</w:t>
            </w:r>
          </w:p>
          <w:p w14:paraId="1DCE1BF6" w14:textId="77777777" w:rsidR="001268A7" w:rsidRPr="00F463D6" w:rsidRDefault="001268A7" w:rsidP="001268A7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071379EC" w14:textId="43B20481" w:rsidR="009C7B44" w:rsidRDefault="001268A7" w:rsidP="004A71C0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F463D6">
              <w:rPr>
                <w:rFonts w:ascii="Arial" w:hAnsi="Arial" w:cs="Arial"/>
                <w:lang w:val="en-US"/>
              </w:rPr>
              <w:t xml:space="preserve">Researchers </w:t>
            </w:r>
            <w:r w:rsidR="00107525">
              <w:rPr>
                <w:rFonts w:ascii="Arial" w:hAnsi="Arial" w:cs="Arial"/>
                <w:lang w:val="en-US"/>
              </w:rPr>
              <w:t>are encouraged to</w:t>
            </w:r>
            <w:r w:rsidR="00107525" w:rsidRPr="00F463D6">
              <w:rPr>
                <w:rFonts w:ascii="Arial" w:hAnsi="Arial" w:cs="Arial"/>
                <w:lang w:val="en-US"/>
              </w:rPr>
              <w:t xml:space="preserve"> </w:t>
            </w:r>
            <w:r w:rsidRPr="00F463D6">
              <w:rPr>
                <w:rFonts w:ascii="Arial" w:hAnsi="Arial" w:cs="Arial"/>
                <w:lang w:val="en-US"/>
              </w:rPr>
              <w:t>take a cross-disciplinary approach for their proposed research. For example, researchers could explore the use of technology (e.g. digital data management, GIS Technology, aerial photography,</w:t>
            </w:r>
            <w:r w:rsidR="0092519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25196">
              <w:rPr>
                <w:rFonts w:ascii="Arial" w:hAnsi="Arial" w:cs="Arial"/>
                <w:lang w:val="en-US"/>
              </w:rPr>
              <w:t>etc</w:t>
            </w:r>
            <w:proofErr w:type="spellEnd"/>
            <w:r w:rsidR="00925196">
              <w:rPr>
                <w:rFonts w:ascii="Arial" w:hAnsi="Arial" w:cs="Arial"/>
                <w:lang w:val="en-US"/>
              </w:rPr>
              <w:t>) that supports the research</w:t>
            </w:r>
            <w:r w:rsidRPr="00F463D6">
              <w:rPr>
                <w:rFonts w:ascii="Arial" w:hAnsi="Arial" w:cs="Arial"/>
                <w:lang w:val="en-US"/>
              </w:rPr>
              <w:t xml:space="preserve"> objectives and enhances the quality of the research.</w:t>
            </w:r>
            <w:r w:rsidR="00237F63">
              <w:rPr>
                <w:rFonts w:ascii="Arial" w:hAnsi="Arial" w:cs="Arial"/>
                <w:lang w:val="en-US"/>
              </w:rPr>
              <w:t xml:space="preserve"> </w:t>
            </w:r>
          </w:p>
          <w:p w14:paraId="11390623" w14:textId="77777777" w:rsidR="006E6A98" w:rsidRPr="00D869B4" w:rsidRDefault="001268A7" w:rsidP="004A71C0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F463D6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FB58DC" w:rsidRPr="00F463D6" w14:paraId="23CBD9C9" w14:textId="77777777" w:rsidTr="00545DD7">
        <w:trPr>
          <w:trHeight w:val="756"/>
        </w:trPr>
        <w:tc>
          <w:tcPr>
            <w:tcW w:w="1413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14:paraId="3733E162" w14:textId="37A00908" w:rsidR="00FB58DC" w:rsidRDefault="00FB58DC" w:rsidP="004A71C0">
            <w:pPr>
              <w:pStyle w:val="NoSpacing"/>
              <w:jc w:val="both"/>
              <w:rPr>
                <w:rFonts w:ascii="Arial" w:eastAsia="ヒラギノ角ゴ Pro W3" w:hAnsi="Arial" w:cs="Arial"/>
                <w:b/>
                <w:bCs/>
                <w:kern w:val="24"/>
                <w:lang w:val="en-US"/>
              </w:rPr>
            </w:pPr>
            <w:r>
              <w:rPr>
                <w:rFonts w:ascii="Arial" w:eastAsia="ヒラギノ角ゴ Pro W3" w:hAnsi="Arial" w:cs="Arial"/>
                <w:b/>
                <w:bCs/>
                <w:kern w:val="24"/>
                <w:lang w:val="en-US"/>
              </w:rPr>
              <w:t>Ethnic Heritage</w:t>
            </w:r>
          </w:p>
        </w:tc>
        <w:tc>
          <w:tcPr>
            <w:tcW w:w="7653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14:paraId="5C5A3A73" w14:textId="77777777" w:rsidR="00367C75" w:rsidRDefault="00127489" w:rsidP="009A269A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This topic invites </w:t>
            </w:r>
            <w:r w:rsidR="009A269A">
              <w:rPr>
                <w:rFonts w:ascii="Arial" w:hAnsi="Arial" w:cs="Arial"/>
                <w:lang w:val="en-US"/>
              </w:rPr>
              <w:t>research proposals</w:t>
            </w:r>
            <w:r>
              <w:rPr>
                <w:rFonts w:ascii="Arial" w:hAnsi="Arial" w:cs="Arial"/>
                <w:lang w:val="en-US"/>
              </w:rPr>
              <w:t xml:space="preserve"> that documents and examines the tangible and/or intangible cultural heritage of specif</w:t>
            </w:r>
            <w:r w:rsidR="009A269A">
              <w:rPr>
                <w:rFonts w:ascii="Arial" w:hAnsi="Arial" w:cs="Arial"/>
                <w:lang w:val="en-US"/>
              </w:rPr>
              <w:t>ic communities/sub-communities</w:t>
            </w:r>
            <w:r>
              <w:rPr>
                <w:rFonts w:ascii="Arial" w:hAnsi="Arial" w:cs="Arial"/>
                <w:lang w:val="en-US"/>
              </w:rPr>
              <w:t xml:space="preserve"> in Singapore.</w:t>
            </w:r>
            <w:r w:rsidR="00563B25">
              <w:rPr>
                <w:rFonts w:ascii="Arial" w:hAnsi="Arial" w:cs="Arial"/>
                <w:lang w:val="en-US"/>
              </w:rPr>
              <w:t xml:space="preserve"> </w:t>
            </w:r>
            <w:r w:rsidR="00367C75">
              <w:rPr>
                <w:rFonts w:ascii="Arial" w:hAnsi="Arial" w:cs="Arial"/>
                <w:lang w:val="en-US"/>
              </w:rPr>
              <w:t>Interested researchers should propose specific case studies that could include:</w:t>
            </w:r>
          </w:p>
          <w:p w14:paraId="0C81436B" w14:textId="77777777" w:rsidR="00367C75" w:rsidRDefault="00367C75" w:rsidP="009A269A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  <w:p w14:paraId="56041A17" w14:textId="657F075F" w:rsidR="00367C75" w:rsidRPr="00237F63" w:rsidRDefault="00367C75" w:rsidP="00367C75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Communities</w:t>
            </w:r>
            <w:r>
              <w:rPr>
                <w:rFonts w:ascii="Arial" w:hAnsi="Arial" w:cs="Arial"/>
                <w:lang w:val="en-US"/>
              </w:rPr>
              <w:t xml:space="preserve"> (e.g. early development of mixed heritage communities in Southeast Asia like the Straits Chinese, Arab/</w:t>
            </w:r>
            <w:proofErr w:type="spellStart"/>
            <w:r>
              <w:rPr>
                <w:rFonts w:ascii="Arial" w:hAnsi="Arial" w:cs="Arial"/>
                <w:lang w:val="en-US"/>
              </w:rPr>
              <w:t>Jawi</w:t>
            </w:r>
            <w:proofErr w:type="spellEnd"/>
            <w:r>
              <w:rPr>
                <w:rFonts w:ascii="Arial" w:hAnsi="Arial" w:cs="Arial"/>
                <w:lang w:val="en-US"/>
              </w:rPr>
              <w:t>/Chitty Peranakan</w:t>
            </w:r>
            <w:r w:rsidR="00CD6D8B">
              <w:rPr>
                <w:rFonts w:ascii="Arial" w:hAnsi="Arial" w:cs="Arial"/>
                <w:lang w:val="en-US"/>
              </w:rPr>
              <w:t xml:space="preserve"> communities</w:t>
            </w:r>
            <w:r>
              <w:rPr>
                <w:rFonts w:ascii="Arial" w:hAnsi="Arial" w:cs="Arial"/>
                <w:lang w:val="en-US"/>
              </w:rPr>
              <w:t>, influence of intermarriage and the formation of trade alliances, history and development of related</w:t>
            </w:r>
            <w:r w:rsidR="008442C6">
              <w:rPr>
                <w:rFonts w:ascii="Arial" w:hAnsi="Arial" w:cs="Arial"/>
                <w:lang w:val="en-US"/>
              </w:rPr>
              <w:t xml:space="preserve"> ethnic</w:t>
            </w:r>
            <w:r>
              <w:rPr>
                <w:rFonts w:ascii="Arial" w:hAnsi="Arial" w:cs="Arial"/>
                <w:lang w:val="en-US"/>
              </w:rPr>
              <w:t xml:space="preserve"> associations and societies)</w:t>
            </w:r>
          </w:p>
          <w:p w14:paraId="349B7404" w14:textId="6BA6F3EE" w:rsidR="00626178" w:rsidRPr="00B63382" w:rsidRDefault="00237F63" w:rsidP="0062617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Historical attachment of ethnic communities to certain geographical locations and sense of community</w:t>
            </w:r>
          </w:p>
          <w:p w14:paraId="7A8E56A9" w14:textId="6B0B3E36" w:rsidR="00367C75" w:rsidRPr="00626178" w:rsidRDefault="00626178" w:rsidP="0062617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C</w:t>
            </w:r>
            <w:r w:rsidR="00237F63" w:rsidRPr="00626178">
              <w:rPr>
                <w:rFonts w:ascii="Arial" w:hAnsi="Arial" w:cs="Arial"/>
              </w:rPr>
              <w:t>ultural production and practices of ethnic communities (i.e. food, traditional arts and crafts, significance of key communal events)</w:t>
            </w:r>
          </w:p>
          <w:p w14:paraId="4F97162A" w14:textId="77777777" w:rsidR="00626178" w:rsidRDefault="00626178" w:rsidP="009A269A">
            <w:pPr>
              <w:pStyle w:val="NoSpacing"/>
              <w:jc w:val="both"/>
              <w:rPr>
                <w:rFonts w:ascii="Arial" w:eastAsia="ヒラギノ角ゴ Pro W3" w:hAnsi="Arial" w:cs="Arial"/>
                <w:bCs/>
                <w:kern w:val="24"/>
              </w:rPr>
            </w:pPr>
          </w:p>
          <w:p w14:paraId="419F8070" w14:textId="135F71A2" w:rsidR="00FB58DC" w:rsidRPr="00CE71C9" w:rsidRDefault="00367C75" w:rsidP="009A269A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eastAsia="ヒラギノ角ゴ Pro W3" w:hAnsi="Arial" w:cs="Arial"/>
                <w:bCs/>
                <w:kern w:val="24"/>
              </w:rPr>
              <w:t>Please note that the above list is not exhaustive.</w:t>
            </w:r>
            <w:r w:rsidR="00CE71C9">
              <w:rPr>
                <w:rFonts w:ascii="Arial" w:hAnsi="Arial" w:cs="Arial"/>
              </w:rPr>
              <w:t xml:space="preserve"> Projects may utilise historical, archival and other relevant methodologies to explore the topic of Ethnic Heritage, or explore other case studies that could deepen understanding of ethnic heritage in Singapore.</w:t>
            </w:r>
            <w:r w:rsidR="00237F63">
              <w:rPr>
                <w:rFonts w:ascii="Arial" w:hAnsi="Arial" w:cs="Arial"/>
              </w:rPr>
              <w:t xml:space="preserve"> </w:t>
            </w:r>
          </w:p>
          <w:p w14:paraId="1F0F2A06" w14:textId="77777777" w:rsidR="0055665C" w:rsidRPr="00F463D6" w:rsidRDefault="0055665C" w:rsidP="009A269A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5E6EB0EF" w14:textId="77777777" w:rsidR="00CB6480" w:rsidRPr="00F463D6" w:rsidRDefault="00CB6480" w:rsidP="00CB6480">
      <w:pPr>
        <w:pStyle w:val="NoSpacing"/>
        <w:jc w:val="both"/>
        <w:rPr>
          <w:rFonts w:ascii="Arial" w:hAnsi="Arial" w:cs="Arial"/>
        </w:rPr>
      </w:pPr>
    </w:p>
    <w:p w14:paraId="5786B483" w14:textId="75105E20" w:rsidR="00E33321" w:rsidRPr="004B495F" w:rsidRDefault="00CB6480" w:rsidP="004B495F">
      <w:pPr>
        <w:pStyle w:val="NoSpacing"/>
        <w:rPr>
          <w:rFonts w:ascii="Arial" w:hAnsi="Arial" w:cs="Arial"/>
          <w:sz w:val="20"/>
          <w:lang w:val="en-US"/>
        </w:rPr>
      </w:pPr>
      <w:r w:rsidRPr="00F463D6">
        <w:rPr>
          <w:rFonts w:ascii="Arial" w:hAnsi="Arial" w:cs="Arial"/>
          <w:lang w:val="en-US"/>
        </w:rPr>
        <w:t xml:space="preserve">The HRG </w:t>
      </w:r>
      <w:r w:rsidR="000C1065">
        <w:rPr>
          <w:rFonts w:ascii="Arial" w:hAnsi="Arial" w:cs="Arial"/>
          <w:lang w:val="en-US"/>
        </w:rPr>
        <w:t xml:space="preserve">Secretariat </w:t>
      </w:r>
      <w:r w:rsidRPr="00F463D6">
        <w:rPr>
          <w:rFonts w:ascii="Arial" w:hAnsi="Arial" w:cs="Arial"/>
          <w:lang w:val="en-US"/>
        </w:rPr>
        <w:t xml:space="preserve">encourages applicants to take an inter-cultural and cross-disciplinary approach for their proposed research topic. </w:t>
      </w:r>
      <w:r w:rsidR="004507EE">
        <w:rPr>
          <w:rFonts w:ascii="Arial" w:hAnsi="Arial" w:cs="Arial"/>
          <w:lang w:val="en-US"/>
        </w:rPr>
        <w:t xml:space="preserve">For example, a research project that focuses on </w:t>
      </w:r>
      <w:r w:rsidR="004507EE">
        <w:rPr>
          <w:rFonts w:ascii="Arial" w:hAnsi="Arial" w:cs="Arial"/>
          <w:lang w:val="en-US"/>
        </w:rPr>
        <w:lastRenderedPageBreak/>
        <w:t xml:space="preserve">intangible cultural heritage and its links to tangible heritage buildings and spaces would be encouraged.  </w:t>
      </w:r>
    </w:p>
    <w:sectPr w:rsidR="00E33321" w:rsidRPr="004B495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68A5E" w14:textId="77777777" w:rsidR="00F53D16" w:rsidRDefault="00F53D16">
      <w:pPr>
        <w:spacing w:after="0" w:line="240" w:lineRule="auto"/>
      </w:pPr>
      <w:r>
        <w:separator/>
      </w:r>
    </w:p>
  </w:endnote>
  <w:endnote w:type="continuationSeparator" w:id="0">
    <w:p w14:paraId="18669C4C" w14:textId="77777777" w:rsidR="00F53D16" w:rsidRDefault="00F5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574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4419DA" w14:textId="4AE8371E" w:rsidR="0088111E" w:rsidRDefault="002432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6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A0BF80" w14:textId="77777777" w:rsidR="0088111E" w:rsidRDefault="00F53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20F06" w14:textId="77777777" w:rsidR="00F53D16" w:rsidRDefault="00F53D16">
      <w:pPr>
        <w:spacing w:after="0" w:line="240" w:lineRule="auto"/>
      </w:pPr>
      <w:r>
        <w:separator/>
      </w:r>
    </w:p>
  </w:footnote>
  <w:footnote w:type="continuationSeparator" w:id="0">
    <w:p w14:paraId="02E42803" w14:textId="77777777" w:rsidR="00F53D16" w:rsidRDefault="00F53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5AF"/>
    <w:multiLevelType w:val="hybridMultilevel"/>
    <w:tmpl w:val="1022339E"/>
    <w:lvl w:ilvl="0" w:tplc="C10C96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318AA"/>
    <w:multiLevelType w:val="hybridMultilevel"/>
    <w:tmpl w:val="EE68C5C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C3B69"/>
    <w:multiLevelType w:val="hybridMultilevel"/>
    <w:tmpl w:val="3890638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80"/>
    <w:rsid w:val="00010557"/>
    <w:rsid w:val="00033A74"/>
    <w:rsid w:val="00040769"/>
    <w:rsid w:val="00081194"/>
    <w:rsid w:val="000A774D"/>
    <w:rsid w:val="000C1065"/>
    <w:rsid w:val="000D5277"/>
    <w:rsid w:val="000F1131"/>
    <w:rsid w:val="00107525"/>
    <w:rsid w:val="001139B2"/>
    <w:rsid w:val="001268A7"/>
    <w:rsid w:val="00127489"/>
    <w:rsid w:val="001558FC"/>
    <w:rsid w:val="00160236"/>
    <w:rsid w:val="0016280F"/>
    <w:rsid w:val="001906A8"/>
    <w:rsid w:val="0019152B"/>
    <w:rsid w:val="001A685C"/>
    <w:rsid w:val="001D0F10"/>
    <w:rsid w:val="001D7D5F"/>
    <w:rsid w:val="001E0C52"/>
    <w:rsid w:val="001F1785"/>
    <w:rsid w:val="00220FAF"/>
    <w:rsid w:val="00237F63"/>
    <w:rsid w:val="0024320D"/>
    <w:rsid w:val="00282728"/>
    <w:rsid w:val="00287214"/>
    <w:rsid w:val="002D7F19"/>
    <w:rsid w:val="002E0465"/>
    <w:rsid w:val="003014C0"/>
    <w:rsid w:val="00302735"/>
    <w:rsid w:val="0032171A"/>
    <w:rsid w:val="00322CF5"/>
    <w:rsid w:val="0032500C"/>
    <w:rsid w:val="003256DC"/>
    <w:rsid w:val="00325E91"/>
    <w:rsid w:val="00341BF3"/>
    <w:rsid w:val="00346E45"/>
    <w:rsid w:val="00350607"/>
    <w:rsid w:val="00356113"/>
    <w:rsid w:val="00367C75"/>
    <w:rsid w:val="003821AB"/>
    <w:rsid w:val="00393DD4"/>
    <w:rsid w:val="003941C1"/>
    <w:rsid w:val="003A37F5"/>
    <w:rsid w:val="003B6515"/>
    <w:rsid w:val="00412CF6"/>
    <w:rsid w:val="00423352"/>
    <w:rsid w:val="004258E5"/>
    <w:rsid w:val="00431EFD"/>
    <w:rsid w:val="00441EE0"/>
    <w:rsid w:val="004507EE"/>
    <w:rsid w:val="00472068"/>
    <w:rsid w:val="004B2D71"/>
    <w:rsid w:val="004B495F"/>
    <w:rsid w:val="004F3A26"/>
    <w:rsid w:val="00503F78"/>
    <w:rsid w:val="00504046"/>
    <w:rsid w:val="0052588E"/>
    <w:rsid w:val="00533D6B"/>
    <w:rsid w:val="00541F16"/>
    <w:rsid w:val="00545DD7"/>
    <w:rsid w:val="0055616C"/>
    <w:rsid w:val="0055665C"/>
    <w:rsid w:val="00563B25"/>
    <w:rsid w:val="005724EE"/>
    <w:rsid w:val="00572997"/>
    <w:rsid w:val="00580721"/>
    <w:rsid w:val="005B1BB1"/>
    <w:rsid w:val="005B6A24"/>
    <w:rsid w:val="005E15A3"/>
    <w:rsid w:val="005F0FA3"/>
    <w:rsid w:val="006075D8"/>
    <w:rsid w:val="00626178"/>
    <w:rsid w:val="006525B9"/>
    <w:rsid w:val="00663784"/>
    <w:rsid w:val="006870E3"/>
    <w:rsid w:val="006B2E37"/>
    <w:rsid w:val="006B72A3"/>
    <w:rsid w:val="006B7DF7"/>
    <w:rsid w:val="006D4E90"/>
    <w:rsid w:val="006E6A98"/>
    <w:rsid w:val="00754B66"/>
    <w:rsid w:val="00774331"/>
    <w:rsid w:val="007932AF"/>
    <w:rsid w:val="007A145B"/>
    <w:rsid w:val="007C3686"/>
    <w:rsid w:val="007D65C4"/>
    <w:rsid w:val="007F0070"/>
    <w:rsid w:val="007F4978"/>
    <w:rsid w:val="00802D78"/>
    <w:rsid w:val="00806971"/>
    <w:rsid w:val="00810E29"/>
    <w:rsid w:val="00823634"/>
    <w:rsid w:val="008442C6"/>
    <w:rsid w:val="0087223A"/>
    <w:rsid w:val="008A761F"/>
    <w:rsid w:val="008C228C"/>
    <w:rsid w:val="008C56BD"/>
    <w:rsid w:val="008E1614"/>
    <w:rsid w:val="00900CAE"/>
    <w:rsid w:val="00925196"/>
    <w:rsid w:val="00933650"/>
    <w:rsid w:val="00993DE4"/>
    <w:rsid w:val="009A269A"/>
    <w:rsid w:val="009A3070"/>
    <w:rsid w:val="009A3783"/>
    <w:rsid w:val="009A5F2D"/>
    <w:rsid w:val="009B6E94"/>
    <w:rsid w:val="009C26D6"/>
    <w:rsid w:val="009C7B44"/>
    <w:rsid w:val="009E1FD2"/>
    <w:rsid w:val="009F0361"/>
    <w:rsid w:val="00A2207E"/>
    <w:rsid w:val="00A23536"/>
    <w:rsid w:val="00A53DE3"/>
    <w:rsid w:val="00AD2B41"/>
    <w:rsid w:val="00AE64CB"/>
    <w:rsid w:val="00AF0B72"/>
    <w:rsid w:val="00B03A03"/>
    <w:rsid w:val="00B231EA"/>
    <w:rsid w:val="00B34EDB"/>
    <w:rsid w:val="00B43D65"/>
    <w:rsid w:val="00B701E6"/>
    <w:rsid w:val="00BB4706"/>
    <w:rsid w:val="00BD7E80"/>
    <w:rsid w:val="00BE1BFD"/>
    <w:rsid w:val="00BE2C6A"/>
    <w:rsid w:val="00C34120"/>
    <w:rsid w:val="00C53A4E"/>
    <w:rsid w:val="00C744A9"/>
    <w:rsid w:val="00C82843"/>
    <w:rsid w:val="00C8305C"/>
    <w:rsid w:val="00CB6480"/>
    <w:rsid w:val="00CD6D8B"/>
    <w:rsid w:val="00CE2F5D"/>
    <w:rsid w:val="00CE71C9"/>
    <w:rsid w:val="00CF0A41"/>
    <w:rsid w:val="00D04023"/>
    <w:rsid w:val="00D72833"/>
    <w:rsid w:val="00D8468C"/>
    <w:rsid w:val="00D869B4"/>
    <w:rsid w:val="00DC2909"/>
    <w:rsid w:val="00DC7BB5"/>
    <w:rsid w:val="00E15334"/>
    <w:rsid w:val="00E1679D"/>
    <w:rsid w:val="00E31275"/>
    <w:rsid w:val="00E60EBA"/>
    <w:rsid w:val="00E85FF1"/>
    <w:rsid w:val="00E91B5D"/>
    <w:rsid w:val="00E9270C"/>
    <w:rsid w:val="00EA62DC"/>
    <w:rsid w:val="00EC6D6D"/>
    <w:rsid w:val="00F4455B"/>
    <w:rsid w:val="00F53D16"/>
    <w:rsid w:val="00F64CCC"/>
    <w:rsid w:val="00F65A2E"/>
    <w:rsid w:val="00F804FC"/>
    <w:rsid w:val="00F903E0"/>
    <w:rsid w:val="00FB4DDB"/>
    <w:rsid w:val="00FB5747"/>
    <w:rsid w:val="00FB58DC"/>
    <w:rsid w:val="00FD602B"/>
    <w:rsid w:val="00FE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0538B"/>
  <w15:chartTrackingRefBased/>
  <w15:docId w15:val="{0EBA043F-0334-43CC-A079-954D94B3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480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6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80"/>
    <w:rPr>
      <w:lang w:val="en-GB"/>
    </w:rPr>
  </w:style>
  <w:style w:type="paragraph" w:styleId="NoSpacing">
    <w:name w:val="No Spacing"/>
    <w:uiPriority w:val="1"/>
    <w:qFormat/>
    <w:rsid w:val="00CB6480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833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E1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16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161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614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525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oots.sg/learn/resources/i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Yinghong CAI (NHB)</dc:creator>
  <cp:keywords/>
  <dc:description/>
  <cp:lastModifiedBy>Tng Kwang SIM (NHB)</cp:lastModifiedBy>
  <cp:revision>14</cp:revision>
  <cp:lastPrinted>2017-12-21T03:27:00Z</cp:lastPrinted>
  <dcterms:created xsi:type="dcterms:W3CDTF">2019-04-23T02:25:00Z</dcterms:created>
  <dcterms:modified xsi:type="dcterms:W3CDTF">2019-08-21T01:46:00Z</dcterms:modified>
</cp:coreProperties>
</file>